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77EB8308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Basın ve Halkla İlişkiler Müdürlüğü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2ABDB2AD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D83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3F4D3E75" w:rsidR="00EF009E" w:rsidRPr="00482EAD" w:rsidRDefault="00566CF8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41BE">
              <w:rPr>
                <w:rFonts w:ascii="Times New Roman" w:hAnsi="Times New Roman" w:cs="Times New Roman"/>
              </w:rPr>
              <w:t>9</w:t>
            </w:r>
            <w:r w:rsidR="00E94730">
              <w:rPr>
                <w:rFonts w:ascii="Times New Roman" w:hAnsi="Times New Roman" w:cs="Times New Roman"/>
              </w:rPr>
              <w:t>.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="00D83FB3">
              <w:rPr>
                <w:rFonts w:ascii="Times New Roman" w:hAnsi="Times New Roman" w:cs="Times New Roman"/>
              </w:rPr>
              <w:t>6</w:t>
            </w:r>
            <w:r w:rsidR="00E9473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3696D116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Pr="00482EAD">
              <w:rPr>
                <w:rFonts w:ascii="Times New Roman" w:hAnsi="Times New Roman" w:cs="Times New Roman"/>
              </w:rPr>
              <w:t>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7AE2EB9E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 w:rsidRPr="00C776FF">
              <w:rPr>
                <w:rFonts w:ascii="Times New Roman" w:hAnsi="Times New Roman" w:cs="Times New Roman"/>
              </w:rPr>
              <w:t>Basın ve Halkla İlişkiler Müdürlüğü</w:t>
            </w:r>
            <w:r>
              <w:rPr>
                <w:rFonts w:ascii="Times New Roman" w:hAnsi="Times New Roman" w:cs="Times New Roman"/>
              </w:rPr>
              <w:t xml:space="preserve">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7F8C2191" w:rsidR="007D6B79" w:rsidRPr="00B022CB" w:rsidRDefault="00F00917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Senato kararıyla</w:t>
            </w:r>
            <w:r w:rsidR="0073538B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yönerge değişikliğine gidilen </w:t>
            </w:r>
            <w:r w:rsidR="0073538B">
              <w:rPr>
                <w:rFonts w:ascii="Times New Roman" w:hAnsi="Times New Roman" w:cs="Times New Roman"/>
                <w:kern w:val="0"/>
              </w:rPr>
              <w:t>Basın ve Halkla İlişkiler Müdürlüğü</w:t>
            </w:r>
            <w:r>
              <w:rPr>
                <w:rFonts w:ascii="Times New Roman" w:hAnsi="Times New Roman" w:cs="Times New Roman"/>
                <w:kern w:val="0"/>
              </w:rPr>
              <w:t xml:space="preserve">nün faaliyetlerine ilişkin </w:t>
            </w:r>
            <w:r w:rsidR="00413112">
              <w:rPr>
                <w:rFonts w:ascii="Times New Roman" w:hAnsi="Times New Roman" w:cs="Times New Roman"/>
                <w:kern w:val="0"/>
              </w:rPr>
              <w:t>görüşülmesi</w:t>
            </w:r>
            <w:r w:rsidR="0073538B">
              <w:rPr>
                <w:rFonts w:ascii="Times New Roman" w:hAnsi="Times New Roman" w:cs="Times New Roman"/>
                <w:kern w:val="0"/>
              </w:rPr>
              <w:t>,</w:t>
            </w:r>
          </w:p>
        </w:tc>
      </w:tr>
      <w:tr w:rsidR="00E74557" w:rsidRPr="00BC5F74" w14:paraId="4AAF2FD4" w14:textId="77777777" w:rsidTr="00EF009E">
        <w:trPr>
          <w:trHeight w:val="829"/>
        </w:trPr>
        <w:tc>
          <w:tcPr>
            <w:tcW w:w="261" w:type="dxa"/>
          </w:tcPr>
          <w:p w14:paraId="579F1718" w14:textId="19C319E9" w:rsidR="00E74557" w:rsidRPr="00B022CB" w:rsidRDefault="00E7455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091" w:type="dxa"/>
            <w:gridSpan w:val="6"/>
          </w:tcPr>
          <w:p w14:paraId="0D45D2A8" w14:textId="61DDAA78" w:rsidR="00E74557" w:rsidRDefault="00E74557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Yeni yönerge kapsamında faaliyete geçen </w:t>
            </w:r>
            <w:r w:rsidR="006C5763">
              <w:rPr>
                <w:rFonts w:ascii="Times New Roman" w:hAnsi="Times New Roman" w:cs="Times New Roman"/>
                <w:kern w:val="0"/>
              </w:rPr>
              <w:t xml:space="preserve">Bilim İletişim Ofisi’nin </w:t>
            </w:r>
            <w:r>
              <w:rPr>
                <w:rFonts w:ascii="Times New Roman" w:hAnsi="Times New Roman" w:cs="Times New Roman"/>
                <w:kern w:val="0"/>
              </w:rPr>
              <w:t>faaliyetlerine ilişkin görüşülmesi,</w:t>
            </w:r>
          </w:p>
        </w:tc>
      </w:tr>
      <w:tr w:rsidR="009C3830" w:rsidRPr="00BC5F74" w14:paraId="6A34F4D7" w14:textId="77777777" w:rsidTr="00EF009E">
        <w:trPr>
          <w:trHeight w:val="829"/>
        </w:trPr>
        <w:tc>
          <w:tcPr>
            <w:tcW w:w="261" w:type="dxa"/>
          </w:tcPr>
          <w:p w14:paraId="77376962" w14:textId="35041D1C" w:rsidR="009C3830" w:rsidRDefault="009C3830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091" w:type="dxa"/>
            <w:gridSpan w:val="6"/>
          </w:tcPr>
          <w:p w14:paraId="23D2D4A8" w14:textId="04990E5F" w:rsidR="009C3830" w:rsidRDefault="00F00917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27-</w:t>
            </w:r>
            <w:r w:rsidRPr="00F00917">
              <w:rPr>
                <w:rFonts w:ascii="Times New Roman" w:hAnsi="Times New Roman" w:cs="Times New Roman"/>
                <w:kern w:val="0"/>
              </w:rPr>
              <w:t xml:space="preserve">28 Haziran tarihlerinde Bilim İletişimi Ofisi’nin tanıtım projesi olarak tüm üniversitelerde yapılacak olan “Bilim Kafe” etkinliğinin Üniversitemiz adına gerçekleştirilmesi için Yükseköğretim Kurulu tarafından </w:t>
            </w:r>
            <w:r>
              <w:rPr>
                <w:rFonts w:ascii="Times New Roman" w:hAnsi="Times New Roman" w:cs="Times New Roman"/>
                <w:kern w:val="0"/>
              </w:rPr>
              <w:t xml:space="preserve">uygun görülen </w:t>
            </w:r>
            <w:r w:rsidRPr="00F00917">
              <w:rPr>
                <w:rFonts w:ascii="Times New Roman" w:hAnsi="Times New Roman" w:cs="Times New Roman"/>
                <w:kern w:val="0"/>
              </w:rPr>
              <w:t xml:space="preserve">Fatsa Deniz Bilimleri Fakültesi Balıkçılık Teknolojisi Mühendisliği öğretim üyesi Doç. Dr. Koray </w:t>
            </w:r>
            <w:r w:rsidR="006C5763" w:rsidRPr="00F00917">
              <w:rPr>
                <w:rFonts w:ascii="Times New Roman" w:hAnsi="Times New Roman" w:cs="Times New Roman"/>
                <w:kern w:val="0"/>
              </w:rPr>
              <w:t>Korkmaz’ın</w:t>
            </w:r>
            <w:r w:rsidRPr="00F00917">
              <w:rPr>
                <w:rFonts w:ascii="Times New Roman" w:hAnsi="Times New Roman" w:cs="Times New Roman"/>
                <w:kern w:val="0"/>
              </w:rPr>
              <w:t xml:space="preserve"> “Hamsiden Fındığa: Balık Atıklarının Gübreye Dönüşümü” başlıklı çalışması</w:t>
            </w:r>
            <w:r>
              <w:rPr>
                <w:rFonts w:ascii="Times New Roman" w:hAnsi="Times New Roman" w:cs="Times New Roman"/>
                <w:kern w:val="0"/>
              </w:rPr>
              <w:t>na dair yer, mekan ve ihtiyaçlara ilişkin planlama</w:t>
            </w:r>
            <w:r w:rsidR="006C5763">
              <w:rPr>
                <w:rFonts w:ascii="Times New Roman" w:hAnsi="Times New Roman" w:cs="Times New Roman"/>
                <w:kern w:val="0"/>
              </w:rPr>
              <w:t xml:space="preserve"> yapılmadı.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6C5763">
        <w:trPr>
          <w:trHeight w:val="1165"/>
        </w:trPr>
        <w:tc>
          <w:tcPr>
            <w:tcW w:w="261" w:type="dxa"/>
          </w:tcPr>
          <w:p w14:paraId="316EA748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EF009E" w:rsidRPr="00BC5F74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3A956CCC" w14:textId="77777777" w:rsidR="00A20747" w:rsidRDefault="00A20747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C13C1BF" w14:textId="4F4818D3" w:rsidR="00F00917" w:rsidRPr="00D3390E" w:rsidRDefault="00F00917" w:rsidP="00D3390E">
            <w:pPr>
              <w:jc w:val="both"/>
              <w:rPr>
                <w:rFonts w:ascii="Times New Roman" w:hAnsi="Times New Roman" w:cs="Times New Roman"/>
                <w:kern w:val="0"/>
              </w:rPr>
            </w:pPr>
            <w:r w:rsidRPr="00F00917">
              <w:rPr>
                <w:rFonts w:ascii="Times New Roman" w:hAnsi="Times New Roman" w:cs="Times New Roman"/>
                <w:kern w:val="0"/>
              </w:rPr>
              <w:t xml:space="preserve">Senato kararıyla yönerge değişikliğine gidilen Basın ve Halkla İlişkiler Müdürlüğünün </w:t>
            </w:r>
            <w:r>
              <w:rPr>
                <w:rFonts w:ascii="Times New Roman" w:hAnsi="Times New Roman" w:cs="Times New Roman"/>
                <w:kern w:val="0"/>
              </w:rPr>
              <w:t>detsis bilgilerin güncellenmesi için Strateji Geliştirme Daire Başkanlığı ile iletişime geçilmesi,</w:t>
            </w:r>
          </w:p>
        </w:tc>
      </w:tr>
      <w:tr w:rsidR="00F00917" w:rsidRPr="00BC5F74" w14:paraId="04107B84" w14:textId="77777777" w:rsidTr="00EF009E">
        <w:trPr>
          <w:trHeight w:val="879"/>
        </w:trPr>
        <w:tc>
          <w:tcPr>
            <w:tcW w:w="261" w:type="dxa"/>
          </w:tcPr>
          <w:p w14:paraId="58099803" w14:textId="6B754965" w:rsidR="00F00917" w:rsidRDefault="00F0091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091" w:type="dxa"/>
            <w:gridSpan w:val="6"/>
          </w:tcPr>
          <w:p w14:paraId="03197E57" w14:textId="51CD6067" w:rsidR="00F00917" w:rsidRDefault="006C5763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Fatsa’da fındık bahçesinde gerçekleştirilecek YÖK </w:t>
            </w:r>
            <w:r w:rsidR="00F00917">
              <w:rPr>
                <w:rFonts w:ascii="Times New Roman" w:hAnsi="Times New Roman" w:cs="Times New Roman"/>
                <w:kern w:val="0"/>
              </w:rPr>
              <w:t>“</w:t>
            </w:r>
            <w:r w:rsidR="00F00917" w:rsidRPr="00F00917">
              <w:rPr>
                <w:rFonts w:ascii="Times New Roman" w:hAnsi="Times New Roman" w:cs="Times New Roman"/>
                <w:kern w:val="0"/>
              </w:rPr>
              <w:t>Bilim Kafe” etkinliğin</w:t>
            </w:r>
            <w:r>
              <w:rPr>
                <w:rFonts w:ascii="Times New Roman" w:hAnsi="Times New Roman" w:cs="Times New Roman"/>
                <w:kern w:val="0"/>
              </w:rPr>
              <w:t>e ilişkin kurumsal giydirmelerin hazırlanması, etkinlik mekanında gerekli çalışmaların yapılması.</w:t>
            </w:r>
          </w:p>
        </w:tc>
      </w:tr>
    </w:tbl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Default="00B653D4" w:rsidP="00D8229F">
      <w:pPr>
        <w:rPr>
          <w:rFonts w:ascii="Times New Roman" w:hAnsi="Times New Roman" w:cs="Times New Roman"/>
          <w:sz w:val="16"/>
          <w:szCs w:val="16"/>
        </w:rPr>
      </w:pPr>
    </w:p>
    <w:p w14:paraId="09BA4931" w14:textId="77777777" w:rsidR="00D8229F" w:rsidRPr="00D8229F" w:rsidRDefault="00D8229F" w:rsidP="00D8229F">
      <w:pPr>
        <w:jc w:val="center"/>
        <w:rPr>
          <w:rFonts w:ascii="Times New Roman" w:hAnsi="Times New Roman" w:cs="Times New Roman"/>
          <w:b/>
          <w:bCs/>
        </w:rPr>
      </w:pPr>
      <w:r w:rsidRPr="00D8229F">
        <w:rPr>
          <w:rFonts w:ascii="Times New Roman" w:hAnsi="Times New Roman" w:cs="Times New Roman"/>
          <w:b/>
          <w:bCs/>
        </w:rPr>
        <w:t>BİRİM KALİTE KOMİSYON ÜYELERİ</w:t>
      </w: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2976"/>
        <w:gridCol w:w="1985"/>
      </w:tblGrid>
      <w:tr w:rsidR="00D8229F" w14:paraId="003CCDA5" w14:textId="77777777" w:rsidTr="00E6690B">
        <w:tc>
          <w:tcPr>
            <w:tcW w:w="5955" w:type="dxa"/>
          </w:tcPr>
          <w:p w14:paraId="4A968377" w14:textId="2579D692" w:rsidR="00D8229F" w:rsidRPr="00855D69" w:rsidRDefault="00D8229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 w:rsidRPr="00855D69">
              <w:rPr>
                <w:rFonts w:ascii="Times New Roman" w:hAnsi="Times New Roman" w:cs="Times New Roman"/>
              </w:rPr>
              <w:t xml:space="preserve">Dr. Öğr. Üyesi </w:t>
            </w:r>
            <w:r w:rsidR="00C776FF">
              <w:rPr>
                <w:rFonts w:ascii="Times New Roman" w:hAnsi="Times New Roman" w:cs="Times New Roman"/>
              </w:rPr>
              <w:t>Merve SARIŞIN</w:t>
            </w:r>
          </w:p>
        </w:tc>
        <w:tc>
          <w:tcPr>
            <w:tcW w:w="2976" w:type="dxa"/>
          </w:tcPr>
          <w:p w14:paraId="0B3E3B95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6D808450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985" w:type="dxa"/>
          </w:tcPr>
          <w:p w14:paraId="7660F250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69EDF55" w14:textId="77777777" w:rsidTr="00E6690B">
        <w:tc>
          <w:tcPr>
            <w:tcW w:w="5955" w:type="dxa"/>
          </w:tcPr>
          <w:p w14:paraId="37A9D9AE" w14:textId="7697A0BB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Tamer GÖNÜL</w:t>
            </w:r>
          </w:p>
        </w:tc>
        <w:tc>
          <w:tcPr>
            <w:tcW w:w="2976" w:type="dxa"/>
          </w:tcPr>
          <w:p w14:paraId="0A10BE89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3F6A32DC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682DF863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2884757" w14:textId="77777777" w:rsidTr="00E6690B">
        <w:tc>
          <w:tcPr>
            <w:tcW w:w="5955" w:type="dxa"/>
          </w:tcPr>
          <w:p w14:paraId="57EA92E6" w14:textId="7A294819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BAYDERE</w:t>
            </w:r>
          </w:p>
        </w:tc>
        <w:tc>
          <w:tcPr>
            <w:tcW w:w="2976" w:type="dxa"/>
          </w:tcPr>
          <w:p w14:paraId="5D126548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25C4724B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7C6179BD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</w:tbl>
    <w:p w14:paraId="297DBC66" w14:textId="77777777" w:rsidR="005C5E70" w:rsidRDefault="005C5E70" w:rsidP="006C5763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5F65" w14:textId="77777777" w:rsidR="00AC72ED" w:rsidRDefault="00AC72ED" w:rsidP="005022E9">
      <w:pPr>
        <w:spacing w:after="0" w:line="240" w:lineRule="auto"/>
      </w:pPr>
      <w:r>
        <w:separator/>
      </w:r>
    </w:p>
  </w:endnote>
  <w:endnote w:type="continuationSeparator" w:id="0">
    <w:p w14:paraId="37715A38" w14:textId="77777777" w:rsidR="00AC72ED" w:rsidRDefault="00AC72ED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01D5" w14:textId="77777777" w:rsidR="00AC72ED" w:rsidRDefault="00AC72ED" w:rsidP="005022E9">
      <w:pPr>
        <w:spacing w:after="0" w:line="240" w:lineRule="auto"/>
      </w:pPr>
      <w:r>
        <w:separator/>
      </w:r>
    </w:p>
  </w:footnote>
  <w:footnote w:type="continuationSeparator" w:id="0">
    <w:p w14:paraId="120C14AD" w14:textId="77777777" w:rsidR="00AC72ED" w:rsidRDefault="00AC72ED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41BE"/>
    <w:rsid w:val="000A59AC"/>
    <w:rsid w:val="000E5169"/>
    <w:rsid w:val="00117665"/>
    <w:rsid w:val="00183099"/>
    <w:rsid w:val="001A7BF5"/>
    <w:rsid w:val="001B096E"/>
    <w:rsid w:val="001B5E58"/>
    <w:rsid w:val="001B6FF7"/>
    <w:rsid w:val="001D489F"/>
    <w:rsid w:val="001E20CD"/>
    <w:rsid w:val="001F19D6"/>
    <w:rsid w:val="0020514C"/>
    <w:rsid w:val="0026089C"/>
    <w:rsid w:val="00266D19"/>
    <w:rsid w:val="002D19E2"/>
    <w:rsid w:val="002F6FF8"/>
    <w:rsid w:val="0030575B"/>
    <w:rsid w:val="0033560F"/>
    <w:rsid w:val="00372C80"/>
    <w:rsid w:val="003B539C"/>
    <w:rsid w:val="003B5D53"/>
    <w:rsid w:val="003D112F"/>
    <w:rsid w:val="003D3032"/>
    <w:rsid w:val="00411206"/>
    <w:rsid w:val="00413112"/>
    <w:rsid w:val="00452E1C"/>
    <w:rsid w:val="0046771F"/>
    <w:rsid w:val="004754C9"/>
    <w:rsid w:val="004C3C65"/>
    <w:rsid w:val="005022E9"/>
    <w:rsid w:val="00535163"/>
    <w:rsid w:val="00552310"/>
    <w:rsid w:val="005541E3"/>
    <w:rsid w:val="00566CF8"/>
    <w:rsid w:val="005C5E70"/>
    <w:rsid w:val="00627931"/>
    <w:rsid w:val="00632CA5"/>
    <w:rsid w:val="00674FE0"/>
    <w:rsid w:val="00687FB0"/>
    <w:rsid w:val="006C5763"/>
    <w:rsid w:val="00703779"/>
    <w:rsid w:val="007163BE"/>
    <w:rsid w:val="00731E35"/>
    <w:rsid w:val="0073538B"/>
    <w:rsid w:val="00776DF1"/>
    <w:rsid w:val="00783F78"/>
    <w:rsid w:val="007B162F"/>
    <w:rsid w:val="007B1726"/>
    <w:rsid w:val="007B76BD"/>
    <w:rsid w:val="007C314D"/>
    <w:rsid w:val="007D078B"/>
    <w:rsid w:val="007D6B79"/>
    <w:rsid w:val="007E26B7"/>
    <w:rsid w:val="007E7630"/>
    <w:rsid w:val="0082405F"/>
    <w:rsid w:val="008757AA"/>
    <w:rsid w:val="00877BB4"/>
    <w:rsid w:val="00910F08"/>
    <w:rsid w:val="009121C5"/>
    <w:rsid w:val="00952202"/>
    <w:rsid w:val="0096526B"/>
    <w:rsid w:val="009706FE"/>
    <w:rsid w:val="00973CDC"/>
    <w:rsid w:val="009A7002"/>
    <w:rsid w:val="009B202B"/>
    <w:rsid w:val="009C3830"/>
    <w:rsid w:val="009E258D"/>
    <w:rsid w:val="009F5D0B"/>
    <w:rsid w:val="00A20747"/>
    <w:rsid w:val="00A45BB1"/>
    <w:rsid w:val="00A70BC7"/>
    <w:rsid w:val="00A81407"/>
    <w:rsid w:val="00AA4432"/>
    <w:rsid w:val="00AC72ED"/>
    <w:rsid w:val="00AD3901"/>
    <w:rsid w:val="00AD78AE"/>
    <w:rsid w:val="00AE7EA3"/>
    <w:rsid w:val="00B653D4"/>
    <w:rsid w:val="00B76A3B"/>
    <w:rsid w:val="00BA7EB7"/>
    <w:rsid w:val="00BC04FB"/>
    <w:rsid w:val="00BC5F74"/>
    <w:rsid w:val="00BC6B64"/>
    <w:rsid w:val="00BD177D"/>
    <w:rsid w:val="00BE2635"/>
    <w:rsid w:val="00BE495B"/>
    <w:rsid w:val="00C20724"/>
    <w:rsid w:val="00C43ACA"/>
    <w:rsid w:val="00C56DA2"/>
    <w:rsid w:val="00C776FF"/>
    <w:rsid w:val="00CB24A8"/>
    <w:rsid w:val="00CD1873"/>
    <w:rsid w:val="00CF7C11"/>
    <w:rsid w:val="00D018F8"/>
    <w:rsid w:val="00D3390E"/>
    <w:rsid w:val="00D43654"/>
    <w:rsid w:val="00D8229F"/>
    <w:rsid w:val="00D83FB3"/>
    <w:rsid w:val="00DA3A1B"/>
    <w:rsid w:val="00E5006A"/>
    <w:rsid w:val="00E74557"/>
    <w:rsid w:val="00E94730"/>
    <w:rsid w:val="00EC6EFF"/>
    <w:rsid w:val="00EF009E"/>
    <w:rsid w:val="00F00917"/>
    <w:rsid w:val="00F116EA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Merve SARIŞIN</cp:lastModifiedBy>
  <cp:revision>4</cp:revision>
  <cp:lastPrinted>2025-07-08T07:15:00Z</cp:lastPrinted>
  <dcterms:created xsi:type="dcterms:W3CDTF">2025-07-03T07:19:00Z</dcterms:created>
  <dcterms:modified xsi:type="dcterms:W3CDTF">2025-07-08T11:46:00Z</dcterms:modified>
</cp:coreProperties>
</file>